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hint="eastAsia" w:ascii="方正小标宋_GBK" w:hAnsi="黑体" w:eastAsia="方正小标宋_GBK" w:cs="宋体"/>
          <w:bCs/>
          <w:kern w:val="0"/>
          <w:sz w:val="44"/>
          <w:szCs w:val="44"/>
          <w14:ligatures w14:val="none"/>
        </w:rPr>
      </w:pPr>
      <w:r>
        <w:rPr>
          <w:rFonts w:hint="eastAsia" w:ascii="方正小标宋_GBK" w:hAnsi="黑体" w:eastAsia="方正小标宋_GBK" w:cs="宋体"/>
          <w:bCs/>
          <w:kern w:val="0"/>
          <w:sz w:val="44"/>
          <w:szCs w:val="44"/>
          <w:lang w:eastAsia="zh-CN"/>
          <w14:ligatures w14:val="none"/>
        </w:rPr>
        <w:t>关于推进</w:t>
      </w:r>
      <w:r>
        <w:rPr>
          <w:rFonts w:hint="eastAsia" w:ascii="方正小标宋_GBK" w:hAnsi="黑体" w:eastAsia="方正小标宋_GBK" w:cs="宋体"/>
          <w:bCs/>
          <w:kern w:val="0"/>
          <w:sz w:val="44"/>
          <w:szCs w:val="44"/>
          <w14:ligatures w14:val="none"/>
        </w:rPr>
        <w:t>“多测合一”建筑面积计算的</w:t>
      </w:r>
    </w:p>
    <w:p>
      <w:pPr>
        <w:widowControl/>
        <w:shd w:val="clear" w:color="auto" w:fill="FFFFFF"/>
        <w:spacing w:line="560" w:lineRule="exact"/>
        <w:jc w:val="center"/>
        <w:rPr>
          <w:rFonts w:hint="eastAsia" w:ascii="方正小标宋_GBK" w:hAnsi="黑体" w:eastAsia="方正小标宋_GBK" w:cs="宋体"/>
          <w:b w:val="0"/>
          <w:bCs/>
          <w:kern w:val="0"/>
          <w:sz w:val="44"/>
          <w:szCs w:val="44"/>
          <w:lang w:eastAsia="zh-CN"/>
          <w14:ligatures w14:val="none"/>
        </w:rPr>
      </w:pPr>
      <w:r>
        <w:rPr>
          <w:rFonts w:hint="eastAsia" w:ascii="方正小标宋_GBK" w:hAnsi="黑体" w:eastAsia="方正小标宋_GBK" w:cs="宋体"/>
          <w:bCs/>
          <w:kern w:val="0"/>
          <w:sz w:val="44"/>
          <w:szCs w:val="44"/>
          <w14:ligatures w14:val="none"/>
        </w:rPr>
        <w:t>若干规定（试行）</w:t>
      </w:r>
      <w:r>
        <w:rPr>
          <w:rFonts w:hint="eastAsia" w:ascii="方正小标宋_GBK" w:hAnsi="黑体" w:eastAsia="方正小标宋_GBK" w:cs="宋体"/>
          <w:b w:val="0"/>
          <w:bCs/>
          <w:kern w:val="0"/>
          <w:sz w:val="44"/>
          <w:szCs w:val="44"/>
          <w:lang w:eastAsia="zh-CN"/>
          <w14:ligatures w14:val="none"/>
        </w:rPr>
        <w:t>（征求意见稿）</w:t>
      </w:r>
    </w:p>
    <w:p>
      <w:pPr>
        <w:widowControl/>
        <w:shd w:val="clear" w:color="auto" w:fill="FFFFFF"/>
        <w:spacing w:line="560" w:lineRule="exact"/>
        <w:jc w:val="center"/>
        <w:rPr>
          <w:rFonts w:hint="eastAsia" w:ascii="方正小标宋_GBK" w:hAnsi="黑体" w:eastAsia="方正小标宋_GBK" w:cs="宋体"/>
          <w:b w:val="0"/>
          <w:bCs/>
          <w:kern w:val="0"/>
          <w:sz w:val="44"/>
          <w:szCs w:val="44"/>
          <w:lang w:eastAsia="zh-CN"/>
          <w14:ligatures w14:val="none"/>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ascii="方正小标宋_GBK" w:hAnsi="黑体" w:eastAsia="方正小标宋_GBK" w:cs="宋体"/>
          <w:bCs/>
          <w:kern w:val="0"/>
          <w:sz w:val="44"/>
          <w:szCs w:val="44"/>
          <w14:ligatures w14:val="none"/>
        </w:rPr>
      </w:pPr>
      <w:r>
        <w:rPr>
          <w:rFonts w:hint="eastAsia" w:ascii="仿宋_GB2312" w:hAnsi="仿宋_GB2312" w:eastAsia="仿宋_GB2312" w:cs="仿宋_GB2312"/>
          <w:i w:val="0"/>
          <w:caps w:val="0"/>
          <w:color w:val="000000"/>
          <w:spacing w:val="0"/>
          <w:sz w:val="32"/>
          <w:szCs w:val="32"/>
          <w:u w:val="none"/>
          <w:lang w:val="en-US" w:eastAsia="zh-CN"/>
        </w:rPr>
        <w:t>为全面深化我市工程建设项目“多测合一”改革工作，统一“多测合一”建筑面积计算规则，并结合我市实际，特制定如下规定。</w:t>
      </w:r>
    </w:p>
    <w:p>
      <w:pPr>
        <w:widowControl/>
        <w:shd w:val="clear" w:color="auto" w:fill="FFFFFF"/>
        <w:spacing w:line="560" w:lineRule="exact"/>
        <w:ind w:firstLine="643"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b/>
          <w:bCs/>
          <w:kern w:val="0"/>
          <w:sz w:val="32"/>
          <w:szCs w:val="32"/>
          <w14:ligatures w14:val="none"/>
        </w:rPr>
        <w:t>第一条</w:t>
      </w:r>
      <w:r>
        <w:rPr>
          <w:rFonts w:hint="eastAsia" w:ascii="仿宋_GB2312" w:hAnsi="微软雅黑" w:eastAsia="仿宋_GB2312" w:cs="宋体"/>
          <w:bCs/>
          <w:kern w:val="0"/>
          <w:sz w:val="32"/>
          <w:szCs w:val="32"/>
          <w14:ligatures w14:val="none"/>
        </w:rPr>
        <w:t xml:space="preserve">  总建筑面积应按地上和地下建筑面积之和计算，地上和地下建筑面积应分别计算，地上建筑（不含架空层、空中花园等）的建筑面积计入容积率面积。地上地下建筑面积区分应符合下列规定：</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仿宋_GB2312" w:eastAsia="仿宋_GB2312" w:cs="仿宋_GB2312"/>
          <w:kern w:val="0"/>
          <w:sz w:val="32"/>
          <w:szCs w:val="32"/>
          <w:lang w:bidi="ar"/>
        </w:rPr>
        <w:t>1、</w:t>
      </w:r>
      <w:r>
        <w:rPr>
          <w:rFonts w:hint="eastAsia" w:ascii="仿宋_GB2312" w:hAnsi="微软雅黑" w:eastAsia="仿宋_GB2312" w:cs="宋体"/>
          <w:kern w:val="0"/>
          <w:sz w:val="32"/>
          <w:szCs w:val="32"/>
          <w14:ligatures w14:val="none"/>
        </w:rPr>
        <w:t>室外设计地坪以上的建筑空间，其建筑面积应计入地上建筑面积，室外设计地坪以下的建筑空间，其建筑面积应计入地下建筑面积；</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当室外设计地坪位于建筑空间的中间时，若该建筑空间的楼(地)面低于室外设计地坪的高度大于该空间结构层高的1/2，应计入地下建筑面积；若其楼(地)面低于室外设计地坪的高度小于或等于该空间结构层高的1/2，则计入地上建筑面积；</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3、特殊地形建筑空间，符合下列规定的计入地上建筑面积：</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（1）单独设置的建筑，对于室外设计地坪为坡地的情况，建筑空间的楼（地）面低于室外设计地坪的高度应以平均高度计算；</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（2）室外设计地坪以上为连续临街界面，且用于商业经营功能的相对独立的建筑空间，计入地上建筑面积；</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（3）与地下室相连，使用功能相对独立的空间，若其楼（地）面低于室外设计地坪的平均高度小于或等于该空间结构层高的1/2，则计入地上建筑面积。</w:t>
      </w:r>
    </w:p>
    <w:p>
      <w:pPr>
        <w:widowControl/>
        <w:shd w:val="clear" w:color="auto" w:fill="FFFFFF"/>
        <w:spacing w:line="560" w:lineRule="exact"/>
        <w:ind w:firstLine="643" w:firstLineChars="200"/>
        <w:jc w:val="left"/>
        <w:rPr>
          <w:rFonts w:ascii="仿宋_GB2312" w:hAnsi="微软雅黑" w:eastAsia="仿宋_GB2312" w:cs="宋体"/>
          <w:bCs/>
          <w:kern w:val="0"/>
          <w:sz w:val="32"/>
          <w:szCs w:val="32"/>
          <w14:ligatures w14:val="none"/>
        </w:rPr>
      </w:pPr>
      <w:r>
        <w:rPr>
          <w:rFonts w:hint="eastAsia" w:ascii="仿宋_GB2312" w:hAnsi="微软雅黑" w:eastAsia="仿宋_GB2312" w:cs="宋体"/>
          <w:b/>
          <w:bCs/>
          <w:kern w:val="0"/>
          <w:sz w:val="32"/>
          <w:szCs w:val="32"/>
          <w14:ligatures w14:val="none"/>
        </w:rPr>
        <w:t>第二条</w:t>
      </w:r>
      <w:r>
        <w:rPr>
          <w:rFonts w:hint="eastAsia" w:ascii="仿宋_GB2312" w:hAnsi="微软雅黑" w:eastAsia="仿宋_GB2312" w:cs="宋体"/>
          <w:bCs/>
          <w:kern w:val="0"/>
          <w:sz w:val="32"/>
          <w:szCs w:val="32"/>
          <w14:ligatures w14:val="none"/>
        </w:rPr>
        <w:t xml:space="preserve">  地下室、半地下室建筑面积计算应符合下列规定：</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1、应按其外围护结构（不包括采光井、防潮层和保护墙）所围空间水平投影面积计算；</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2、有顶盖的坡道在地上部分，按其围护结构或柱所围空间的水平投影面积计入地下建筑面积，坡道在地下部分按其通过的地下室、半地下室的层数计算建筑面积；</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3、出地面的各类井道（不包括采光井）、楼梯间和电梯间等，位于地面建筑内部或附着于建筑外墙的，计入其所通过的地上各层的面积。地下室出地面有顶盖的采光井，按一层计入地下建筑面积；</w:t>
      </w:r>
    </w:p>
    <w:p>
      <w:pPr>
        <w:widowControl/>
        <w:shd w:val="clear" w:color="auto" w:fill="FFFFFF"/>
        <w:spacing w:line="560" w:lineRule="exact"/>
        <w:ind w:firstLine="640" w:firstLineChars="200"/>
        <w:jc w:val="left"/>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4、新建住宅小区，为丰富户型产品，为特定居住单元配置的地下拓展空间（泳池、健身房、图书室、影音娱乐室、活动室、储藏间等）应计入地下建筑面积，</w:t>
      </w:r>
      <w:r>
        <w:rPr>
          <w:rFonts w:hint="eastAsia" w:ascii="仿宋_GB2312" w:hAnsi="仿宋_GB2312" w:eastAsia="仿宋_GB2312" w:cs="仿宋_GB2312"/>
          <w:kern w:val="0"/>
          <w:sz w:val="32"/>
          <w:szCs w:val="32"/>
          <w:lang w:eastAsia="zh-CN" w:bidi="ar"/>
        </w:rPr>
        <w:t>并计入容积率，</w:t>
      </w:r>
      <w:r>
        <w:rPr>
          <w:rFonts w:hint="eastAsia" w:ascii="仿宋_GB2312" w:hAnsi="仿宋_GB2312" w:eastAsia="仿宋_GB2312" w:cs="仿宋_GB2312"/>
          <w:kern w:val="0"/>
          <w:sz w:val="32"/>
          <w:szCs w:val="32"/>
          <w:lang w:bidi="ar"/>
        </w:rPr>
        <w:t>如规划设计条件明确</w:t>
      </w:r>
      <w:r>
        <w:rPr>
          <w:rFonts w:hint="eastAsia" w:ascii="仿宋_GB2312" w:hAnsi="仿宋_GB2312" w:eastAsia="仿宋_GB2312" w:cs="仿宋_GB2312"/>
          <w:kern w:val="0"/>
          <w:sz w:val="32"/>
          <w:szCs w:val="32"/>
          <w:lang w:eastAsia="zh-CN" w:bidi="ar"/>
        </w:rPr>
        <w:t>有</w:t>
      </w:r>
      <w:r>
        <w:rPr>
          <w:rFonts w:hint="eastAsia" w:ascii="仿宋_GB2312" w:hAnsi="仿宋_GB2312" w:eastAsia="仿宋_GB2312" w:cs="仿宋_GB2312"/>
          <w:kern w:val="0"/>
          <w:sz w:val="32"/>
          <w:szCs w:val="32"/>
          <w:lang w:bidi="ar"/>
        </w:rPr>
        <w:t>地下容积率的</w:t>
      </w:r>
      <w:r>
        <w:rPr>
          <w:rFonts w:hint="eastAsia" w:ascii="仿宋_GB2312" w:hAnsi="仿宋_GB2312" w:eastAsia="仿宋_GB2312" w:cs="仿宋_GB2312"/>
          <w:kern w:val="0"/>
          <w:sz w:val="32"/>
          <w:szCs w:val="32"/>
          <w:lang w:eastAsia="zh-CN" w:bidi="ar"/>
        </w:rPr>
        <w:t>则</w:t>
      </w:r>
      <w:r>
        <w:rPr>
          <w:rFonts w:hint="eastAsia" w:ascii="仿宋_GB2312" w:hAnsi="仿宋_GB2312" w:eastAsia="仿宋_GB2312" w:cs="仿宋_GB2312"/>
          <w:kern w:val="0"/>
          <w:sz w:val="32"/>
          <w:szCs w:val="32"/>
          <w:lang w:bidi="ar"/>
        </w:rPr>
        <w:t>计入地下容积率，计入</w:t>
      </w:r>
      <w:r>
        <w:rPr>
          <w:rFonts w:hint="eastAsia" w:ascii="仿宋_GB2312" w:hAnsi="仿宋_GB2312" w:eastAsia="仿宋_GB2312" w:cs="仿宋_GB2312"/>
          <w:kern w:val="0"/>
          <w:sz w:val="32"/>
          <w:szCs w:val="32"/>
          <w:lang w:eastAsia="zh-CN" w:bidi="ar"/>
        </w:rPr>
        <w:t>地下</w:t>
      </w:r>
      <w:r>
        <w:rPr>
          <w:rFonts w:hint="eastAsia" w:ascii="仿宋_GB2312" w:hAnsi="仿宋_GB2312" w:eastAsia="仿宋_GB2312" w:cs="仿宋_GB2312"/>
          <w:kern w:val="0"/>
          <w:sz w:val="32"/>
          <w:szCs w:val="32"/>
          <w:lang w:bidi="ar"/>
        </w:rPr>
        <w:t>产权登记面积。</w:t>
      </w:r>
    </w:p>
    <w:p>
      <w:pPr>
        <w:widowControl/>
        <w:shd w:val="clear" w:color="auto" w:fill="FFFFFF"/>
        <w:spacing w:line="560" w:lineRule="exact"/>
        <w:ind w:firstLine="643" w:firstLineChars="200"/>
        <w:jc w:val="left"/>
        <w:rPr>
          <w:rFonts w:hint="eastAsia" w:ascii="仿宋_GB2312" w:hAnsi="微软雅黑" w:eastAsia="仿宋_GB2312" w:cs="宋体"/>
          <w:kern w:val="0"/>
          <w:sz w:val="32"/>
          <w:szCs w:val="32"/>
          <w:lang w:eastAsia="zh-CN"/>
          <w14:ligatures w14:val="none"/>
        </w:rPr>
      </w:pPr>
      <w:r>
        <w:rPr>
          <w:rFonts w:hint="eastAsia" w:ascii="仿宋_GB2312" w:hAnsi="微软雅黑" w:eastAsia="仿宋_GB2312" w:cs="宋体"/>
          <w:b/>
          <w:bCs/>
          <w:kern w:val="0"/>
          <w:sz w:val="32"/>
          <w:szCs w:val="32"/>
          <w14:ligatures w14:val="none"/>
        </w:rPr>
        <w:t xml:space="preserve">第三条  </w:t>
      </w:r>
      <w:r>
        <w:rPr>
          <w:rFonts w:hint="eastAsia" w:ascii="仿宋_GB2312" w:hAnsi="微软雅黑" w:eastAsia="仿宋_GB2312" w:cs="宋体"/>
          <w:kern w:val="0"/>
          <w:sz w:val="32"/>
          <w:szCs w:val="32"/>
          <w14:ligatures w14:val="none"/>
        </w:rPr>
        <w:t>新建住宅小区，规划设计条件中明确要求建设单位配建并无偿移交政府相关部门的幼儿园、社区管理服务设施、社区居家养老服务设施等，可不计入容积率，但应计算建筑面积和产权登记面积</w:t>
      </w:r>
      <w:r>
        <w:rPr>
          <w:rFonts w:hint="eastAsia" w:ascii="仿宋_GB2312" w:hAnsi="微软雅黑" w:eastAsia="仿宋_GB2312" w:cs="宋体"/>
          <w:kern w:val="0"/>
          <w:sz w:val="32"/>
          <w:szCs w:val="32"/>
          <w:lang w:eastAsia="zh-CN"/>
          <w14:ligatures w14:val="none"/>
        </w:rPr>
        <w:t>。</w:t>
      </w:r>
    </w:p>
    <w:p>
      <w:pPr>
        <w:widowControl/>
        <w:shd w:val="clear" w:color="auto" w:fill="FFFFFF"/>
        <w:spacing w:line="560" w:lineRule="exact"/>
        <w:ind w:firstLine="643"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b/>
          <w:bCs/>
          <w:kern w:val="0"/>
          <w:sz w:val="32"/>
          <w:szCs w:val="32"/>
          <w14:ligatures w14:val="none"/>
        </w:rPr>
        <w:t>第</w:t>
      </w:r>
      <w:r>
        <w:rPr>
          <w:rFonts w:hint="eastAsia" w:ascii="仿宋_GB2312" w:hAnsi="微软雅黑" w:eastAsia="仿宋_GB2312" w:cs="宋体"/>
          <w:b/>
          <w:bCs/>
          <w:kern w:val="0"/>
          <w:sz w:val="32"/>
          <w:szCs w:val="32"/>
          <w:lang w:eastAsia="zh-CN"/>
          <w14:ligatures w14:val="none"/>
        </w:rPr>
        <w:t>四</w:t>
      </w:r>
      <w:r>
        <w:rPr>
          <w:rFonts w:hint="eastAsia" w:ascii="仿宋_GB2312" w:hAnsi="微软雅黑" w:eastAsia="仿宋_GB2312" w:cs="宋体"/>
          <w:b/>
          <w:bCs/>
          <w:kern w:val="0"/>
          <w:sz w:val="32"/>
          <w:szCs w:val="32"/>
          <w14:ligatures w14:val="none"/>
        </w:rPr>
        <w:t xml:space="preserve">条  </w:t>
      </w:r>
      <w:r>
        <w:rPr>
          <w:rFonts w:hint="eastAsia" w:ascii="仿宋_GB2312" w:hAnsi="微软雅黑" w:eastAsia="仿宋_GB2312" w:cs="宋体"/>
          <w:kern w:val="0"/>
          <w:sz w:val="32"/>
          <w:szCs w:val="32"/>
          <w14:ligatures w14:val="none"/>
        </w:rPr>
        <w:t>建筑物内的楼梯间（井）、电梯间（井）、提物井、垃圾道、管道井、通风井、尾气井和烟道等均按其通过的建筑自然层计算建筑面积；</w:t>
      </w:r>
      <w:r>
        <w:rPr>
          <w:rFonts w:hint="eastAsia" w:ascii="仿宋_GB2312" w:hAnsi="仿宋_GB2312" w:eastAsia="仿宋_GB2312" w:cs="仿宋_GB2312"/>
          <w:kern w:val="0"/>
          <w:sz w:val="32"/>
          <w:szCs w:val="32"/>
          <w:lang w:bidi="ar"/>
        </w:rPr>
        <w:t>住宅楼梯井的净宽度大于0.20米，非住宅楼梯井的净宽度大于0.40米，视为采光井计算建筑面积。</w:t>
      </w:r>
    </w:p>
    <w:p>
      <w:pPr>
        <w:widowControl/>
        <w:shd w:val="clear" w:color="auto" w:fill="FFFFFF"/>
        <w:spacing w:line="560" w:lineRule="exact"/>
        <w:ind w:firstLine="643"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b/>
          <w:bCs/>
          <w:kern w:val="0"/>
          <w:sz w:val="32"/>
          <w:szCs w:val="32"/>
          <w14:ligatures w14:val="none"/>
        </w:rPr>
        <w:t>第</w:t>
      </w:r>
      <w:r>
        <w:rPr>
          <w:rFonts w:hint="eastAsia" w:ascii="仿宋_GB2312" w:hAnsi="微软雅黑" w:eastAsia="仿宋_GB2312" w:cs="宋体"/>
          <w:b/>
          <w:bCs/>
          <w:kern w:val="0"/>
          <w:sz w:val="32"/>
          <w:szCs w:val="32"/>
          <w:lang w:eastAsia="zh-CN"/>
          <w14:ligatures w14:val="none"/>
        </w:rPr>
        <w:t>五</w:t>
      </w:r>
      <w:r>
        <w:rPr>
          <w:rFonts w:hint="eastAsia" w:ascii="仿宋_GB2312" w:hAnsi="微软雅黑" w:eastAsia="仿宋_GB2312" w:cs="宋体"/>
          <w:b/>
          <w:bCs/>
          <w:kern w:val="0"/>
          <w:sz w:val="32"/>
          <w:szCs w:val="32"/>
          <w14:ligatures w14:val="none"/>
        </w:rPr>
        <w:t xml:space="preserve">条  </w:t>
      </w:r>
      <w:r>
        <w:rPr>
          <w:rFonts w:hint="eastAsia" w:ascii="仿宋_GB2312" w:hAnsi="微软雅黑" w:eastAsia="仿宋_GB2312" w:cs="宋体"/>
          <w:kern w:val="0"/>
          <w:sz w:val="32"/>
          <w:szCs w:val="32"/>
          <w14:ligatures w14:val="none"/>
        </w:rPr>
        <w:t>室内楼梯挑出建筑外墙的休息平台、不封闭的楼（电）梯前室，有柱或围护结构围合的，按柱或围护结构水平投影面积计算建筑面积，若两面及以上对外开敞、无柱有围护设施的，按围护设施水平投影面积的1/2计算建设面积，当顶盖不能完全覆盖围护设施时，按其重叠部分水平投影1/2计算建设面积。</w:t>
      </w:r>
    </w:p>
    <w:p>
      <w:pPr>
        <w:widowControl/>
        <w:shd w:val="clear" w:color="auto" w:fill="FFFFFF"/>
        <w:spacing w:line="560" w:lineRule="exact"/>
        <w:ind w:left="643"/>
        <w:jc w:val="left"/>
        <w:rPr>
          <w:rFonts w:ascii="仿宋_GB2312" w:hAnsi="微软雅黑" w:eastAsia="仿宋_GB2312" w:cs="宋体"/>
          <w:b/>
          <w:bCs/>
          <w:kern w:val="0"/>
          <w:sz w:val="32"/>
          <w:szCs w:val="32"/>
          <w14:ligatures w14:val="none"/>
        </w:rPr>
      </w:pPr>
      <w:r>
        <w:rPr>
          <w:rFonts w:hint="eastAsia" w:ascii="仿宋_GB2312" w:hAnsi="微软雅黑" w:eastAsia="仿宋_GB2312" w:cs="宋体"/>
          <w:b/>
          <w:bCs/>
          <w:kern w:val="0"/>
          <w:sz w:val="32"/>
          <w:szCs w:val="32"/>
          <w14:ligatures w14:val="none"/>
        </w:rPr>
        <w:t>第</w:t>
      </w:r>
      <w:r>
        <w:rPr>
          <w:rFonts w:hint="eastAsia" w:ascii="仿宋_GB2312" w:hAnsi="微软雅黑" w:eastAsia="仿宋_GB2312" w:cs="宋体"/>
          <w:b/>
          <w:bCs/>
          <w:kern w:val="0"/>
          <w:sz w:val="32"/>
          <w:szCs w:val="32"/>
          <w:lang w:eastAsia="zh-CN"/>
          <w14:ligatures w14:val="none"/>
        </w:rPr>
        <w:t>六</w:t>
      </w:r>
      <w:r>
        <w:rPr>
          <w:rFonts w:hint="eastAsia" w:ascii="仿宋_GB2312" w:hAnsi="微软雅黑" w:eastAsia="仿宋_GB2312" w:cs="宋体"/>
          <w:b/>
          <w:bCs/>
          <w:kern w:val="0"/>
          <w:sz w:val="32"/>
          <w:szCs w:val="32"/>
          <w14:ligatures w14:val="none"/>
        </w:rPr>
        <w:t xml:space="preserve">条  </w:t>
      </w:r>
      <w:r>
        <w:rPr>
          <w:rFonts w:hint="eastAsia" w:ascii="仿宋_GB2312" w:hAnsi="微软雅黑" w:eastAsia="仿宋_GB2312" w:cs="宋体"/>
          <w:bCs/>
          <w:kern w:val="0"/>
          <w:sz w:val="32"/>
          <w:szCs w:val="32"/>
          <w14:ligatures w14:val="none"/>
        </w:rPr>
        <w:t>阳台建筑面积计算应符合下列规定：</w:t>
      </w:r>
    </w:p>
    <w:p>
      <w:pPr>
        <w:widowControl/>
        <w:shd w:val="clear" w:color="auto" w:fill="FFFFFF"/>
        <w:spacing w:line="560" w:lineRule="exact"/>
        <w:ind w:firstLine="640" w:firstLineChars="200"/>
        <w:jc w:val="left"/>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不封闭阳台，顶盖投影连续的，按其外围护设施所围空间水平投影面积的1/2计算建筑面积，顶盖与其围护设施上下不一致的，按其重叠部分水平投影面积的1/2计算建筑面积；设有支撑柱不封闭的阳台，按其围护设施水平投影面积的1/2计算建筑面积；上有阳台、具有围护结构或围护设施的底层平台，视作阳台。</w:t>
      </w:r>
    </w:p>
    <w:p>
      <w:pPr>
        <w:widowControl/>
        <w:shd w:val="clear" w:color="auto" w:fill="FFFFFF"/>
        <w:spacing w:line="560" w:lineRule="exact"/>
        <w:ind w:firstLine="640" w:firstLineChars="200"/>
        <w:jc w:val="left"/>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封闭阳台，应按其外围护结构所围空间的水平投影面积计算建筑面积；</w:t>
      </w:r>
    </w:p>
    <w:p>
      <w:pPr>
        <w:widowControl/>
        <w:shd w:val="clear" w:color="auto" w:fill="FFFFFF"/>
        <w:spacing w:line="560" w:lineRule="exact"/>
        <w:ind w:firstLine="640" w:firstLineChars="200"/>
        <w:jc w:val="left"/>
        <w:rPr>
          <w:rFonts w:ascii="仿宋_GB2312" w:hAnsi="微软雅黑" w:eastAsia="仿宋_GB2312" w:cs="宋体"/>
          <w:strike/>
          <w:kern w:val="0"/>
          <w:sz w:val="32"/>
          <w:szCs w:val="32"/>
          <w:u w:val="single"/>
          <w14:ligatures w14:val="none"/>
        </w:rPr>
      </w:pPr>
      <w:r>
        <w:rPr>
          <w:rFonts w:hint="eastAsia" w:ascii="仿宋_GB2312" w:hAnsi="微软雅黑" w:eastAsia="仿宋_GB2312" w:cs="宋体"/>
          <w:kern w:val="0"/>
          <w:sz w:val="32"/>
          <w:szCs w:val="32"/>
          <w14:ligatures w14:val="none"/>
        </w:rPr>
        <w:t xml:space="preserve"> 2、不论凹阳台、挑阳台、封闭阳台、不封闭阳台或高度为两层或两层以上的阳台，南向或东西向的主阳台进深不大于2.4米、北向或东西向次阳台进深不大于1.5米，按其水平投影面积的1/2计入容积率和产权登记面积；超出此规定的部分按全面积计入容积率和产权登记面积。</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3、各类阳台（含入户花园）投影面积之和不得超过户型总建筑面积的20%，超出部分按全面积计算建筑面积、容积率和产权登记面积。</w:t>
      </w:r>
    </w:p>
    <w:p>
      <w:pPr>
        <w:widowControl/>
        <w:shd w:val="clear" w:color="auto" w:fill="FFFFFF"/>
        <w:spacing w:line="560" w:lineRule="exact"/>
        <w:ind w:firstLine="643" w:firstLineChars="200"/>
        <w:jc w:val="left"/>
        <w:rPr>
          <w:rFonts w:ascii="仿宋_GB2312" w:hAnsi="微软雅黑" w:eastAsia="仿宋_GB2312" w:cs="宋体"/>
          <w:bCs/>
          <w:kern w:val="0"/>
          <w:sz w:val="32"/>
          <w:szCs w:val="32"/>
          <w14:ligatures w14:val="none"/>
        </w:rPr>
      </w:pPr>
      <w:r>
        <w:rPr>
          <w:rFonts w:hint="eastAsia" w:ascii="仿宋_GB2312" w:hAnsi="微软雅黑" w:eastAsia="仿宋_GB2312" w:cs="宋体"/>
          <w:b/>
          <w:bCs/>
          <w:kern w:val="0"/>
          <w:sz w:val="32"/>
          <w:szCs w:val="32"/>
          <w14:ligatures w14:val="none"/>
        </w:rPr>
        <w:t>第</w:t>
      </w:r>
      <w:r>
        <w:rPr>
          <w:rFonts w:hint="eastAsia" w:ascii="仿宋_GB2312" w:hAnsi="微软雅黑" w:eastAsia="仿宋_GB2312" w:cs="宋体"/>
          <w:b/>
          <w:bCs/>
          <w:kern w:val="0"/>
          <w:sz w:val="32"/>
          <w:szCs w:val="32"/>
          <w:lang w:eastAsia="zh-CN"/>
          <w14:ligatures w14:val="none"/>
        </w:rPr>
        <w:t>七</w:t>
      </w:r>
      <w:r>
        <w:rPr>
          <w:rFonts w:hint="eastAsia" w:ascii="仿宋_GB2312" w:hAnsi="微软雅黑" w:eastAsia="仿宋_GB2312" w:cs="宋体"/>
          <w:b/>
          <w:bCs/>
          <w:kern w:val="0"/>
          <w:sz w:val="32"/>
          <w:szCs w:val="32"/>
          <w14:ligatures w14:val="none"/>
        </w:rPr>
        <w:t xml:space="preserve">条  </w:t>
      </w:r>
      <w:r>
        <w:rPr>
          <w:rFonts w:hint="eastAsia" w:ascii="仿宋_GB2312" w:hAnsi="微软雅黑" w:eastAsia="仿宋_GB2312" w:cs="宋体"/>
          <w:kern w:val="0"/>
          <w:sz w:val="32"/>
          <w:szCs w:val="32"/>
          <w14:ligatures w14:val="none"/>
        </w:rPr>
        <w:t>外墙墙体</w:t>
      </w:r>
      <w:r>
        <w:rPr>
          <w:rFonts w:hint="eastAsia" w:ascii="仿宋_GB2312" w:hAnsi="微软雅黑" w:eastAsia="仿宋_GB2312" w:cs="宋体"/>
          <w:bCs/>
          <w:kern w:val="0"/>
          <w:sz w:val="32"/>
          <w:szCs w:val="32"/>
          <w14:ligatures w14:val="none"/>
        </w:rPr>
        <w:t>建筑面积计算应符合下列规定：</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1、同一楼层外墙，即有主墙，又有玻璃幕墙的，以主墙为准计算建筑面积，墙厚按主墙墙体厚度计算；各楼层墙体厚度不同时，分层分别计算；</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2、对倾斜、弧状等非垂直墙体的房屋，墙体向内倾斜，层高（高度）2.20米以上的部位计算建筑面积；墙体向外倾斜，超出底板外沿的，以底板投影计算建筑面积。</w:t>
      </w:r>
    </w:p>
    <w:p>
      <w:pPr>
        <w:widowControl/>
        <w:shd w:val="clear" w:color="auto" w:fill="FFFFFF"/>
        <w:spacing w:line="560" w:lineRule="exact"/>
        <w:ind w:firstLine="643"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b/>
          <w:bCs/>
          <w:kern w:val="0"/>
          <w:sz w:val="32"/>
          <w:szCs w:val="32"/>
          <w14:ligatures w14:val="none"/>
        </w:rPr>
        <w:t>第</w:t>
      </w:r>
      <w:r>
        <w:rPr>
          <w:rFonts w:hint="eastAsia" w:ascii="仿宋_GB2312" w:hAnsi="微软雅黑" w:eastAsia="仿宋_GB2312" w:cs="宋体"/>
          <w:b/>
          <w:bCs/>
          <w:kern w:val="0"/>
          <w:sz w:val="32"/>
          <w:szCs w:val="32"/>
          <w:lang w:eastAsia="zh-CN"/>
          <w14:ligatures w14:val="none"/>
        </w:rPr>
        <w:t>八</w:t>
      </w:r>
      <w:r>
        <w:rPr>
          <w:rFonts w:hint="eastAsia" w:ascii="仿宋_GB2312" w:hAnsi="微软雅黑" w:eastAsia="仿宋_GB2312" w:cs="宋体"/>
          <w:b/>
          <w:bCs/>
          <w:kern w:val="0"/>
          <w:sz w:val="32"/>
          <w:szCs w:val="32"/>
          <w14:ligatures w14:val="none"/>
        </w:rPr>
        <w:t xml:space="preserve">条  </w:t>
      </w:r>
      <w:r>
        <w:rPr>
          <w:rFonts w:hint="eastAsia" w:ascii="仿宋_GB2312" w:hAnsi="微软雅黑" w:eastAsia="仿宋_GB2312" w:cs="宋体"/>
          <w:kern w:val="0"/>
          <w:sz w:val="32"/>
          <w:szCs w:val="32"/>
          <w14:ligatures w14:val="none"/>
        </w:rPr>
        <w:t>有柱或围护结构的门斗、门廊，按其柱或围护结构的水平投影面积计算建筑面积、容积率和产权登记面积；建筑物出入口的两侧有柱或墙体凸出（凹入）外墙而形成的有盖、不封闭的类似门斗或门廊的空间，按有柱门斗或门廊计算建筑面积、容积率和产权登记面积；独立柱的门廊按其上盖水平投影面积的1/2计算建筑面积、容积率和产权登记面积。</w:t>
      </w:r>
    </w:p>
    <w:p>
      <w:pPr>
        <w:widowControl/>
        <w:spacing w:line="560" w:lineRule="exact"/>
        <w:ind w:firstLine="643" w:firstLineChars="200"/>
        <w:jc w:val="left"/>
        <w:rPr>
          <w:rFonts w:ascii="仿宋_GB2312" w:hAnsi="微软雅黑" w:eastAsia="仿宋_GB2312" w:cs="宋体"/>
          <w:color w:val="000000" w:themeColor="text1"/>
          <w:kern w:val="0"/>
          <w:sz w:val="32"/>
          <w:szCs w:val="32"/>
          <w14:textFill>
            <w14:solidFill>
              <w14:schemeClr w14:val="tx1"/>
            </w14:solidFill>
          </w14:textFill>
          <w14:ligatures w14:val="none"/>
        </w:rPr>
      </w:pPr>
      <w:r>
        <w:rPr>
          <w:rFonts w:hint="eastAsia" w:ascii="仿宋_GB2312" w:hAnsi="微软雅黑" w:eastAsia="仿宋_GB2312" w:cs="宋体"/>
          <w:b/>
          <w:bCs/>
          <w:kern w:val="0"/>
          <w:sz w:val="32"/>
          <w:szCs w:val="32"/>
          <w14:ligatures w14:val="none"/>
        </w:rPr>
        <w:t>第</w:t>
      </w:r>
      <w:r>
        <w:rPr>
          <w:rFonts w:hint="eastAsia" w:ascii="仿宋_GB2312" w:hAnsi="微软雅黑" w:eastAsia="仿宋_GB2312" w:cs="宋体"/>
          <w:b/>
          <w:bCs/>
          <w:kern w:val="0"/>
          <w:sz w:val="32"/>
          <w:szCs w:val="32"/>
          <w:lang w:eastAsia="zh-CN"/>
          <w14:ligatures w14:val="none"/>
        </w:rPr>
        <w:t>九</w:t>
      </w:r>
      <w:r>
        <w:rPr>
          <w:rFonts w:hint="eastAsia" w:ascii="仿宋_GB2312" w:hAnsi="微软雅黑" w:eastAsia="仿宋_GB2312" w:cs="宋体"/>
          <w:b/>
          <w:bCs/>
          <w:kern w:val="0"/>
          <w:sz w:val="32"/>
          <w:szCs w:val="32"/>
          <w14:ligatures w14:val="none"/>
        </w:rPr>
        <w:t xml:space="preserve">条  </w:t>
      </w:r>
      <w:r>
        <w:rPr>
          <w:rFonts w:hint="eastAsia" w:ascii="仿宋_GB2312" w:hAnsi="微软雅黑" w:eastAsia="仿宋_GB2312" w:cs="宋体"/>
          <w:color w:val="000000" w:themeColor="text1"/>
          <w:kern w:val="0"/>
          <w:sz w:val="32"/>
          <w:szCs w:val="32"/>
          <w14:textFill>
            <w14:solidFill>
              <w14:schemeClr w14:val="tx1"/>
            </w14:solidFill>
          </w14:textFill>
          <w14:ligatures w14:val="none"/>
        </w:rPr>
        <w:t>有顶盖和柱的</w:t>
      </w:r>
      <w:r>
        <w:rPr>
          <w:rFonts w:hint="eastAsia" w:ascii="仿宋_GB2312" w:hAnsi="微软雅黑" w:eastAsia="仿宋_GB2312" w:cs="宋体"/>
          <w:kern w:val="0"/>
          <w:sz w:val="32"/>
          <w:szCs w:val="32"/>
          <w14:ligatures w14:val="none"/>
        </w:rPr>
        <w:t>走廊</w:t>
      </w:r>
      <w:r>
        <w:rPr>
          <w:rFonts w:hint="eastAsia" w:ascii="仿宋_GB2312" w:hAnsi="微软雅黑" w:eastAsia="仿宋_GB2312" w:cs="宋体"/>
          <w:color w:val="000000" w:themeColor="text1"/>
          <w:kern w:val="0"/>
          <w:sz w:val="32"/>
          <w:szCs w:val="32"/>
          <w14:textFill>
            <w14:solidFill>
              <w14:schemeClr w14:val="tx1"/>
            </w14:solidFill>
          </w14:textFill>
          <w14:ligatures w14:val="none"/>
        </w:rPr>
        <w:t>、檐廊、连廊、挑廊和架空通廊，按其柱围水平投影面积计算</w:t>
      </w:r>
      <w:r>
        <w:rPr>
          <w:rFonts w:hint="eastAsia" w:ascii="仿宋_GB2312" w:hAnsi="微软雅黑" w:eastAsia="仿宋_GB2312" w:cs="宋体"/>
          <w:kern w:val="0"/>
          <w:sz w:val="32"/>
          <w:szCs w:val="32"/>
          <w14:ligatures w14:val="none"/>
        </w:rPr>
        <w:t>建筑面积、</w:t>
      </w:r>
      <w:r>
        <w:rPr>
          <w:rFonts w:hint="eastAsia" w:ascii="仿宋_GB2312" w:hAnsi="微软雅黑" w:eastAsia="仿宋_GB2312" w:cs="宋体"/>
          <w:color w:val="000000" w:themeColor="text1"/>
          <w:kern w:val="0"/>
          <w:sz w:val="32"/>
          <w:szCs w:val="32"/>
          <w14:textFill>
            <w14:solidFill>
              <w14:schemeClr w14:val="tx1"/>
            </w14:solidFill>
          </w14:textFill>
          <w14:ligatures w14:val="none"/>
        </w:rPr>
        <w:t>容积率和产权登记面积；有顶盖无柱、不封闭的</w:t>
      </w:r>
      <w:r>
        <w:rPr>
          <w:rFonts w:hint="eastAsia" w:ascii="仿宋_GB2312" w:hAnsi="微软雅黑" w:eastAsia="仿宋_GB2312" w:cs="宋体"/>
          <w:kern w:val="0"/>
          <w:sz w:val="32"/>
          <w:szCs w:val="32"/>
          <w14:ligatures w14:val="none"/>
        </w:rPr>
        <w:t>走廊</w:t>
      </w:r>
      <w:r>
        <w:rPr>
          <w:rFonts w:hint="eastAsia" w:ascii="仿宋_GB2312" w:hAnsi="微软雅黑" w:eastAsia="仿宋_GB2312" w:cs="宋体"/>
          <w:color w:val="000000" w:themeColor="text1"/>
          <w:kern w:val="0"/>
          <w:sz w:val="32"/>
          <w:szCs w:val="32"/>
          <w14:textFill>
            <w14:solidFill>
              <w14:schemeClr w14:val="tx1"/>
            </w14:solidFill>
          </w14:textFill>
          <w14:ligatures w14:val="none"/>
        </w:rPr>
        <w:t>、檐廊、连廊、挑廊和架空通廊按其围护设施（两端有与房屋相连的墙体的，视为有围护设施）水平投影面积的1/2计算建筑面积</w:t>
      </w:r>
      <w:r>
        <w:rPr>
          <w:rFonts w:hint="eastAsia" w:ascii="仿宋_GB2312" w:hAnsi="微软雅黑" w:eastAsia="仿宋_GB2312" w:cs="宋体"/>
          <w:kern w:val="0"/>
          <w:sz w:val="32"/>
          <w:szCs w:val="32"/>
          <w14:ligatures w14:val="none"/>
        </w:rPr>
        <w:t>、</w:t>
      </w:r>
      <w:r>
        <w:rPr>
          <w:rFonts w:hint="eastAsia" w:ascii="仿宋_GB2312" w:hAnsi="微软雅黑" w:eastAsia="仿宋_GB2312" w:cs="宋体"/>
          <w:color w:val="000000" w:themeColor="text1"/>
          <w:kern w:val="0"/>
          <w:sz w:val="32"/>
          <w:szCs w:val="32"/>
          <w14:textFill>
            <w14:solidFill>
              <w14:schemeClr w14:val="tx1"/>
            </w14:solidFill>
          </w14:textFill>
          <w14:ligatures w14:val="none"/>
        </w:rPr>
        <w:t>容积率和产权登记面积;新建住宅小区提供为居民通行的单层有顶盖、两侧无围护结构且顶盖宽度不超过</w:t>
      </w:r>
      <w:r>
        <w:rPr>
          <w:rFonts w:ascii="仿宋_GB2312" w:hAnsi="微软雅黑" w:eastAsia="仿宋_GB2312" w:cs="宋体"/>
          <w:color w:val="000000" w:themeColor="text1"/>
          <w:kern w:val="0"/>
          <w:sz w:val="32"/>
          <w:szCs w:val="32"/>
          <w14:textFill>
            <w14:solidFill>
              <w14:schemeClr w14:val="tx1"/>
            </w14:solidFill>
          </w14:textFill>
          <w14:ligatures w14:val="none"/>
        </w:rPr>
        <w:t>3.9</w:t>
      </w:r>
      <w:r>
        <w:rPr>
          <w:rFonts w:hint="eastAsia" w:ascii="仿宋_GB2312" w:hAnsi="微软雅黑" w:eastAsia="仿宋_GB2312" w:cs="宋体"/>
          <w:color w:val="000000" w:themeColor="text1"/>
          <w:kern w:val="0"/>
          <w:sz w:val="32"/>
          <w:szCs w:val="32"/>
          <w14:textFill>
            <w14:solidFill>
              <w14:schemeClr w14:val="tx1"/>
            </w14:solidFill>
          </w14:textFill>
          <w14:ligatures w14:val="none"/>
        </w:rPr>
        <w:t>米的风雨连廊不计算建筑面积、容积率和产权登记面积。</w:t>
      </w:r>
    </w:p>
    <w:p>
      <w:pPr>
        <w:widowControl/>
        <w:shd w:val="clear" w:color="auto" w:fill="FFFFFF"/>
        <w:spacing w:line="560" w:lineRule="exact"/>
        <w:ind w:firstLine="643"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b/>
          <w:bCs/>
          <w:kern w:val="0"/>
          <w:sz w:val="32"/>
          <w:szCs w:val="32"/>
          <w14:ligatures w14:val="none"/>
        </w:rPr>
        <w:t xml:space="preserve">第十条  </w:t>
      </w:r>
      <w:r>
        <w:rPr>
          <w:rFonts w:hint="eastAsia" w:ascii="仿宋_GB2312" w:hAnsi="微软雅黑" w:eastAsia="仿宋_GB2312" w:cs="宋体"/>
          <w:kern w:val="0"/>
          <w:sz w:val="32"/>
          <w:szCs w:val="32"/>
          <w14:ligatures w14:val="none"/>
        </w:rPr>
        <w:t>立体生态住宅每户仅可设置一处空中花园，建筑进深应不小于3米且不大于6米，空中花园水平投影面积不得小于30平方米且不得大于该户型套内面积的1/3(最大不得超过60平方米),空中花园计入建筑面积、不计入容积率和产权登记面积。</w:t>
      </w:r>
    </w:p>
    <w:p>
      <w:pPr>
        <w:widowControl/>
        <w:shd w:val="clear" w:color="auto" w:fill="FFFFFF"/>
        <w:spacing w:line="560" w:lineRule="exact"/>
        <w:ind w:firstLine="643" w:firstLineChars="200"/>
        <w:jc w:val="left"/>
        <w:rPr>
          <w:rFonts w:ascii="仿宋_GB2312" w:hAnsi="微软雅黑" w:eastAsia="仿宋_GB2312" w:cs="宋体"/>
          <w:b/>
          <w:bCs/>
          <w:kern w:val="0"/>
          <w:sz w:val="32"/>
          <w:szCs w:val="32"/>
          <w14:ligatures w14:val="none"/>
        </w:rPr>
      </w:pPr>
      <w:r>
        <w:rPr>
          <w:rFonts w:hint="eastAsia" w:ascii="仿宋_GB2312" w:hAnsi="微软雅黑" w:eastAsia="仿宋_GB2312" w:cs="宋体"/>
          <w:b/>
          <w:bCs/>
          <w:kern w:val="0"/>
          <w:sz w:val="32"/>
          <w:szCs w:val="32"/>
          <w14:ligatures w14:val="none"/>
        </w:rPr>
        <w:t>第十</w:t>
      </w:r>
      <w:r>
        <w:rPr>
          <w:rFonts w:hint="eastAsia" w:ascii="仿宋_GB2312" w:hAnsi="微软雅黑" w:eastAsia="仿宋_GB2312" w:cs="宋体"/>
          <w:b/>
          <w:bCs/>
          <w:kern w:val="0"/>
          <w:sz w:val="32"/>
          <w:szCs w:val="32"/>
          <w:lang w:eastAsia="zh-CN"/>
          <w14:ligatures w14:val="none"/>
        </w:rPr>
        <w:t>一</w:t>
      </w:r>
      <w:r>
        <w:rPr>
          <w:rFonts w:hint="eastAsia" w:ascii="仿宋_GB2312" w:hAnsi="微软雅黑" w:eastAsia="仿宋_GB2312" w:cs="宋体"/>
          <w:b/>
          <w:bCs/>
          <w:kern w:val="0"/>
          <w:sz w:val="32"/>
          <w:szCs w:val="32"/>
          <w14:ligatures w14:val="none"/>
        </w:rPr>
        <w:t xml:space="preserve">条  </w:t>
      </w:r>
      <w:r>
        <w:rPr>
          <w:rFonts w:hint="eastAsia" w:ascii="仿宋_GB2312" w:hAnsi="微软雅黑" w:eastAsia="仿宋_GB2312" w:cs="宋体"/>
          <w:kern w:val="0"/>
          <w:sz w:val="32"/>
          <w:szCs w:val="32"/>
          <w14:ligatures w14:val="none"/>
        </w:rPr>
        <w:t>以下空间不计入建筑面积和产权登记面积：</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1、骑楼、过街楼的底层用作道路、街巷通行的部分，穿过建筑物用作绿化、交通的通道，临街建筑用作社会公共通道的</w:t>
      </w:r>
      <w:r>
        <w:rPr>
          <w:rFonts w:hint="eastAsia" w:ascii="仿宋_GB2312" w:hAnsi="微软雅黑" w:eastAsia="仿宋_GB2312" w:cs="宋体"/>
          <w:color w:val="000000" w:themeColor="text1"/>
          <w:kern w:val="0"/>
          <w:sz w:val="32"/>
          <w:szCs w:val="32"/>
          <w14:textFill>
            <w14:solidFill>
              <w14:schemeClr w14:val="tx1"/>
            </w14:solidFill>
          </w14:textFill>
          <w14:ligatures w14:val="none"/>
        </w:rPr>
        <w:t>檐廊、连廊等</w:t>
      </w:r>
      <w:r>
        <w:rPr>
          <w:rFonts w:hint="eastAsia" w:ascii="仿宋_GB2312" w:hAnsi="微软雅黑" w:eastAsia="仿宋_GB2312" w:cs="宋体"/>
          <w:kern w:val="0"/>
          <w:sz w:val="32"/>
          <w:szCs w:val="32"/>
          <w14:ligatures w14:val="none"/>
        </w:rPr>
        <w:t>；</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2、附属在建筑外墙的门窗线脚、勒脚、凸出墙面的装饰线条、遮阳板、建筑挑檐、无柱雨棚、空调机板等非建筑外围护结构系统的构（配）件等；</w:t>
      </w:r>
    </w:p>
    <w:p>
      <w:pPr>
        <w:widowControl/>
        <w:shd w:val="clear" w:color="auto" w:fill="FFFFFF"/>
        <w:spacing w:line="560" w:lineRule="exact"/>
        <w:ind w:firstLine="643"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b/>
          <w:bCs/>
          <w:kern w:val="0"/>
          <w:sz w:val="32"/>
          <w:szCs w:val="32"/>
          <w14:ligatures w14:val="none"/>
        </w:rPr>
        <w:t>3、</w:t>
      </w:r>
      <w:r>
        <w:rPr>
          <w:rFonts w:hint="eastAsia" w:ascii="仿宋_GB2312" w:hAnsi="微软雅黑" w:eastAsia="仿宋_GB2312" w:cs="宋体"/>
          <w:kern w:val="0"/>
          <w:sz w:val="32"/>
          <w:szCs w:val="32"/>
          <w14:ligatures w14:val="none"/>
        </w:rPr>
        <w:t>建筑外围护结构外侧的装饰柱、垛、台阶、保温层、抹灰、装饰面、镶贴块料面层等；</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4、广场式的室外楼梯，室外爬梯、室外专用消防钢楼梯和钢筋悬臂一字形平板式踏步楼梯，无围护结构的观光电梯；</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5、地下室防潮层、保护墙；</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6、活动房屋、临时房屋，利用市政交通桥（路）面作为顶盖的房屋；</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7、地下室储水池（消防水池等，不含人防工程电站专用水池）和屋顶上的水箱或储水池（消防水池等）；</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8、建筑层高或斜面结构板顶高度小于2.20m的建筑空间；</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9、无顶盖的建筑空间；</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10、建筑出挑部分的下方空间；</w:t>
      </w:r>
    </w:p>
    <w:p>
      <w:pPr>
        <w:widowControl/>
        <w:shd w:val="clear" w:color="auto" w:fill="FFFFFF"/>
        <w:spacing w:line="560" w:lineRule="exact"/>
        <w:ind w:firstLine="640"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kern w:val="0"/>
          <w:sz w:val="32"/>
          <w:szCs w:val="32"/>
          <w14:ligatures w14:val="none"/>
        </w:rPr>
        <w:t>11、独立于建筑物之外的各类构筑物。</w:t>
      </w:r>
    </w:p>
    <w:p>
      <w:pPr>
        <w:widowControl/>
        <w:shd w:val="clear" w:color="auto" w:fill="FFFFFF"/>
        <w:spacing w:line="560" w:lineRule="exact"/>
        <w:ind w:firstLine="643" w:firstLineChars="200"/>
        <w:jc w:val="left"/>
        <w:rPr>
          <w:rFonts w:ascii="仿宋_GB2312" w:hAnsi="微软雅黑" w:eastAsia="仿宋_GB2312" w:cs="宋体"/>
          <w:kern w:val="0"/>
          <w:sz w:val="32"/>
          <w:szCs w:val="32"/>
          <w14:ligatures w14:val="none"/>
        </w:rPr>
      </w:pPr>
      <w:r>
        <w:rPr>
          <w:rFonts w:hint="eastAsia" w:ascii="仿宋_GB2312" w:hAnsi="微软雅黑" w:eastAsia="仿宋_GB2312" w:cs="宋体"/>
          <w:b/>
          <w:bCs/>
          <w:kern w:val="0"/>
          <w:sz w:val="32"/>
          <w:szCs w:val="32"/>
          <w14:ligatures w14:val="none"/>
        </w:rPr>
        <w:t>第十</w:t>
      </w:r>
      <w:r>
        <w:rPr>
          <w:rFonts w:hint="eastAsia" w:ascii="仿宋_GB2312" w:hAnsi="微软雅黑" w:eastAsia="仿宋_GB2312" w:cs="宋体"/>
          <w:b/>
          <w:bCs/>
          <w:kern w:val="0"/>
          <w:sz w:val="32"/>
          <w:szCs w:val="32"/>
          <w:lang w:eastAsia="zh-CN"/>
          <w14:ligatures w14:val="none"/>
        </w:rPr>
        <w:t>二</w:t>
      </w:r>
      <w:r>
        <w:rPr>
          <w:rFonts w:hint="eastAsia" w:ascii="仿宋_GB2312" w:hAnsi="微软雅黑" w:eastAsia="仿宋_GB2312" w:cs="宋体"/>
          <w:b/>
          <w:bCs/>
          <w:kern w:val="0"/>
          <w:sz w:val="32"/>
          <w:szCs w:val="32"/>
          <w14:ligatures w14:val="none"/>
        </w:rPr>
        <w:t xml:space="preserve">条  </w:t>
      </w:r>
      <w:r>
        <w:rPr>
          <w:rFonts w:hint="eastAsia" w:ascii="仿宋_GB2312" w:hAnsi="仿宋_GB2312" w:eastAsia="仿宋_GB2312" w:cs="仿宋_GB2312"/>
          <w:color w:val="000000"/>
          <w:kern w:val="0"/>
          <w:sz w:val="32"/>
          <w:szCs w:val="32"/>
          <w:lang w:bidi="ar"/>
        </w:rPr>
        <w:t>建筑层高和面积计算：</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1、住宅建筑结构层高不应低于2.9米且不宜高于3.6米；当层高大于3.6米时，不论层内是否有隔层，按该层水平投影面积的K倍计算建筑面积、</w:t>
      </w:r>
      <w:r>
        <w:rPr>
          <w:rFonts w:hint="eastAsia" w:ascii="仿宋_GB2312" w:hAnsi="微软雅黑" w:eastAsia="仿宋_GB2312" w:cs="宋体"/>
          <w:kern w:val="0"/>
          <w:sz w:val="32"/>
          <w:szCs w:val="32"/>
          <w14:ligatures w14:val="none"/>
        </w:rPr>
        <w:t>容积率</w:t>
      </w:r>
      <w:r>
        <w:rPr>
          <w:rFonts w:hint="eastAsia" w:ascii="仿宋_GB2312" w:hAnsi="仿宋_GB2312" w:eastAsia="仿宋_GB2312" w:cs="仿宋_GB2312"/>
          <w:color w:val="000000"/>
          <w:kern w:val="0"/>
          <w:sz w:val="32"/>
          <w:szCs w:val="32"/>
          <w:lang w:bidi="ar"/>
        </w:rPr>
        <w:t>，K=h÷3（h为建筑结构层高）；</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2、住宅允许客厅挑空，挑空高度不应大于两个自然层，且挑空面积不大于其底层套内建筑面积（含阳台投影面积）30%；当挑空高度大于两个自然层高时，不论层内是否有隔层，按该层水平投影面积的K倍计算建筑面积、</w:t>
      </w:r>
      <w:r>
        <w:rPr>
          <w:rFonts w:hint="eastAsia" w:ascii="仿宋_GB2312" w:hAnsi="微软雅黑" w:eastAsia="仿宋_GB2312" w:cs="宋体"/>
          <w:kern w:val="0"/>
          <w:sz w:val="32"/>
          <w:szCs w:val="32"/>
          <w14:ligatures w14:val="none"/>
        </w:rPr>
        <w:t>容积率</w:t>
      </w:r>
      <w:r>
        <w:rPr>
          <w:rFonts w:hint="eastAsia" w:ascii="仿宋_GB2312" w:hAnsi="仿宋_GB2312" w:eastAsia="仿宋_GB2312" w:cs="仿宋_GB2312"/>
          <w:color w:val="000000"/>
          <w:kern w:val="0"/>
          <w:sz w:val="32"/>
          <w:szCs w:val="32"/>
          <w:lang w:bidi="ar"/>
        </w:rPr>
        <w:t>，K=h÷3（h为建筑结构层高）；</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3、办公、酒店建筑结构层高不应小于3.2米，且不大于4.5米；当标准层层高大于4.5米时，不论层内是否有隔层，按该层水平投影面积的K倍计算建筑面积、</w:t>
      </w:r>
      <w:r>
        <w:rPr>
          <w:rFonts w:hint="eastAsia" w:ascii="仿宋_GB2312" w:hAnsi="微软雅黑" w:eastAsia="仿宋_GB2312" w:cs="宋体"/>
          <w:kern w:val="0"/>
          <w:sz w:val="32"/>
          <w:szCs w:val="32"/>
          <w14:ligatures w14:val="none"/>
        </w:rPr>
        <w:t>容积率</w:t>
      </w:r>
      <w:r>
        <w:rPr>
          <w:rFonts w:hint="eastAsia" w:ascii="仿宋_GB2312" w:hAnsi="仿宋_GB2312" w:eastAsia="仿宋_GB2312" w:cs="仿宋_GB2312"/>
          <w:color w:val="000000"/>
          <w:kern w:val="0"/>
          <w:sz w:val="32"/>
          <w:szCs w:val="32"/>
          <w:lang w:bidi="ar"/>
        </w:rPr>
        <w:t>，K=h÷3.2（h为建筑结构层高）；</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4、单层面积不大于1000平方米或分隔成小间的沿街商业（含商业街）建筑层高不宜大于5米；当建筑层高大于5米时，不论层内是否有隔层，按该层水平投影面积的K倍计算建筑面积、</w:t>
      </w:r>
      <w:r>
        <w:rPr>
          <w:rFonts w:hint="eastAsia" w:ascii="仿宋_GB2312" w:hAnsi="微软雅黑" w:eastAsia="仿宋_GB2312" w:cs="宋体"/>
          <w:kern w:val="0"/>
          <w:sz w:val="32"/>
          <w:szCs w:val="32"/>
          <w14:ligatures w14:val="none"/>
        </w:rPr>
        <w:t>容积率</w:t>
      </w:r>
      <w:r>
        <w:rPr>
          <w:rFonts w:hint="eastAsia" w:ascii="仿宋_GB2312" w:hAnsi="仿宋_GB2312" w:eastAsia="仿宋_GB2312" w:cs="仿宋_GB2312"/>
          <w:color w:val="000000"/>
          <w:kern w:val="0"/>
          <w:sz w:val="32"/>
          <w:szCs w:val="32"/>
          <w:lang w:bidi="ar"/>
        </w:rPr>
        <w:t>，K=h÷3.6（h为建筑结构层高）；</w:t>
      </w:r>
    </w:p>
    <w:p>
      <w:pPr>
        <w:widowControl/>
        <w:spacing w:line="560" w:lineRule="exact"/>
        <w:ind w:firstLine="640" w:firstLineChars="200"/>
        <w:jc w:val="left"/>
        <w:rPr>
          <w:rFonts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5、单层或单间建筑面积大于1000平方米大型商业建筑建筑层高不宜超过6米，且不得分割；当建筑层高大于6米时，不论层内是否有隔层，按该层水平投影面积的K倍计算建筑面积、</w:t>
      </w:r>
      <w:r>
        <w:rPr>
          <w:rFonts w:hint="eastAsia" w:ascii="仿宋_GB2312" w:hAnsi="微软雅黑" w:eastAsia="仿宋_GB2312" w:cs="宋体"/>
          <w:kern w:val="0"/>
          <w:sz w:val="32"/>
          <w:szCs w:val="32"/>
          <w14:ligatures w14:val="none"/>
        </w:rPr>
        <w:t>容积率</w:t>
      </w:r>
      <w:r>
        <w:rPr>
          <w:rFonts w:hint="eastAsia" w:ascii="仿宋_GB2312" w:hAnsi="仿宋_GB2312" w:eastAsia="仿宋_GB2312" w:cs="仿宋_GB2312"/>
          <w:color w:val="000000"/>
          <w:kern w:val="0"/>
          <w:sz w:val="32"/>
          <w:szCs w:val="32"/>
          <w:lang w:bidi="ar"/>
        </w:rPr>
        <w:t>，K=h÷3.6（h为建筑结构层高）；</w:t>
      </w:r>
    </w:p>
    <w:p>
      <w:pPr>
        <w:widowControl/>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6、一般工业厂房和仓库建筑物层高超过8米时，</w:t>
      </w:r>
      <w:r>
        <w:rPr>
          <w:rFonts w:hint="eastAsia" w:ascii="仿宋_GB2312" w:hAnsi="仿宋_GB2312" w:eastAsia="仿宋_GB2312" w:cs="仿宋_GB2312"/>
          <w:color w:val="000000"/>
          <w:kern w:val="0"/>
          <w:sz w:val="32"/>
          <w:szCs w:val="32"/>
          <w:lang w:bidi="ar"/>
        </w:rPr>
        <w:t>按该层水平投影面积的2倍</w:t>
      </w:r>
      <w:r>
        <w:rPr>
          <w:rFonts w:hint="eastAsia" w:ascii="仿宋_GB2312" w:hAnsi="仿宋_GB2312" w:eastAsia="仿宋_GB2312" w:cs="仿宋_GB2312"/>
          <w:kern w:val="0"/>
          <w:sz w:val="32"/>
          <w:szCs w:val="32"/>
          <w:lang w:bidi="ar"/>
        </w:rPr>
        <w:t>，计入</w:t>
      </w:r>
      <w:r>
        <w:rPr>
          <w:rFonts w:hint="eastAsia" w:ascii="仿宋_GB2312" w:hAnsi="仿宋_GB2312" w:eastAsia="仿宋_GB2312" w:cs="仿宋_GB2312"/>
          <w:color w:val="000000"/>
          <w:kern w:val="0"/>
          <w:sz w:val="32"/>
          <w:szCs w:val="32"/>
          <w:lang w:bidi="ar"/>
        </w:rPr>
        <w:t>建筑面积、</w:t>
      </w:r>
      <w:r>
        <w:rPr>
          <w:rFonts w:hint="eastAsia" w:ascii="仿宋_GB2312" w:hAnsi="微软雅黑" w:eastAsia="仿宋_GB2312" w:cs="宋体"/>
          <w:kern w:val="0"/>
          <w:sz w:val="32"/>
          <w:szCs w:val="32"/>
          <w14:ligatures w14:val="none"/>
        </w:rPr>
        <w:t>容积率</w:t>
      </w:r>
      <w:r>
        <w:rPr>
          <w:rFonts w:hint="eastAsia" w:ascii="仿宋_GB2312" w:hAnsi="仿宋_GB2312" w:eastAsia="仿宋_GB2312" w:cs="仿宋_GB2312"/>
          <w:kern w:val="0"/>
          <w:sz w:val="32"/>
          <w:szCs w:val="32"/>
          <w:lang w:bidi="ar"/>
        </w:rPr>
        <w:t>；</w:t>
      </w:r>
    </w:p>
    <w:p>
      <w:pPr>
        <w:widowControl/>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7、大型场馆、影剧院、大型综合体、工业建筑等公共建筑结构层高按功能或工艺要求可适当加高；</w:t>
      </w:r>
    </w:p>
    <w:p>
      <w:pPr>
        <w:widowControl/>
        <w:spacing w:line="560" w:lineRule="exact"/>
        <w:ind w:firstLine="640" w:firstLineChars="200"/>
        <w:jc w:val="left"/>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8、门厅、大堂、中厅、内廊、采光厅等不列入超层高控制范围。</w:t>
      </w:r>
    </w:p>
    <w:p>
      <w:pPr>
        <w:widowControl/>
        <w:spacing w:line="560" w:lineRule="exact"/>
        <w:ind w:firstLine="643" w:firstLineChars="200"/>
        <w:jc w:val="left"/>
        <w:rPr>
          <w:rFonts w:hint="default" w:ascii="仿宋_GB2312" w:hAnsi="仿宋_GB2312" w:eastAsia="仿宋_GB2312" w:cs="仿宋_GB2312"/>
          <w:b w:val="0"/>
          <w:bCs w:val="0"/>
          <w:kern w:val="0"/>
          <w:sz w:val="32"/>
          <w:szCs w:val="32"/>
          <w:lang w:val="en-US" w:eastAsia="zh-CN" w:bidi="ar"/>
        </w:rPr>
      </w:pPr>
      <w:r>
        <w:rPr>
          <w:rFonts w:hint="eastAsia" w:ascii="仿宋_GB2312" w:hAnsi="微软雅黑" w:eastAsia="仿宋_GB2312" w:cs="宋体"/>
          <w:b/>
          <w:bCs/>
          <w:kern w:val="0"/>
          <w:sz w:val="32"/>
          <w:szCs w:val="32"/>
          <w14:ligatures w14:val="none"/>
        </w:rPr>
        <w:t>第十</w:t>
      </w:r>
      <w:r>
        <w:rPr>
          <w:rFonts w:hint="eastAsia" w:ascii="仿宋_GB2312" w:hAnsi="微软雅黑" w:eastAsia="仿宋_GB2312" w:cs="宋体"/>
          <w:b/>
          <w:bCs/>
          <w:kern w:val="0"/>
          <w:sz w:val="32"/>
          <w:szCs w:val="32"/>
          <w:lang w:eastAsia="zh-CN"/>
          <w14:ligatures w14:val="none"/>
        </w:rPr>
        <w:t>三</w:t>
      </w:r>
      <w:r>
        <w:rPr>
          <w:rFonts w:hint="eastAsia" w:ascii="仿宋_GB2312" w:hAnsi="微软雅黑" w:eastAsia="仿宋_GB2312" w:cs="宋体"/>
          <w:b/>
          <w:bCs/>
          <w:kern w:val="0"/>
          <w:sz w:val="32"/>
          <w:szCs w:val="32"/>
          <w14:ligatures w14:val="none"/>
        </w:rPr>
        <w:t xml:space="preserve">条  </w:t>
      </w:r>
      <w:r>
        <w:rPr>
          <w:rFonts w:hint="eastAsia" w:ascii="仿宋_GB2312" w:hAnsi="微软雅黑" w:eastAsia="仿宋_GB2312" w:cs="宋体"/>
          <w:b w:val="0"/>
          <w:bCs w:val="0"/>
          <w:kern w:val="0"/>
          <w:sz w:val="32"/>
          <w:szCs w:val="32"/>
          <w:lang w:eastAsia="zh-CN"/>
          <w14:ligatures w14:val="none"/>
        </w:rPr>
        <w:t>本规定由上饶市自然资源局负责解释，自印发之日起在上饶市中心城区（信州区、广丰区、广信区、上饶经济技术开发区、上饶高铁经济试验区）试行二年。其他县（市、区）可结合实际，参照执行。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Arial Unicode M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B3393CE-7491-45F1-BB01-4DC442248BF1}"/>
  </w:font>
  <w:font w:name="Courier New">
    <w:altName w:val="Times New Roman"/>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等线">
    <w:altName w:val="Arial Unicode MS"/>
    <w:panose1 w:val="02010600030101010101"/>
    <w:charset w:val="86"/>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embedRegular r:id="rId2" w:fontKey="{099ADD13-8ACE-40A0-9164-1ED64863D9AC}"/>
  </w:font>
  <w:font w:name="仿宋_GB2312">
    <w:panose1 w:val="02010609030101010101"/>
    <w:charset w:val="86"/>
    <w:family w:val="modern"/>
    <w:pitch w:val="default"/>
    <w:sig w:usb0="00000001" w:usb1="080E0000" w:usb2="00000000" w:usb3="00000000" w:csb0="00040000" w:csb1="00000000"/>
    <w:embedRegular r:id="rId3" w:fontKey="{27D00D78-2472-41F8-AA3E-0C6AFCF85145}"/>
  </w:font>
  <w:font w:name="微软雅黑">
    <w:panose1 w:val="020B0503020204020204"/>
    <w:charset w:val="86"/>
    <w:family w:val="swiss"/>
    <w:pitch w:val="default"/>
    <w:sig w:usb0="80000287" w:usb1="280F3C52" w:usb2="00000016" w:usb3="00000000" w:csb0="0004001F" w:csb1="00000000"/>
    <w:embedRegular r:id="rId4" w:fontKey="{5B9BB9FC-047F-4A69-9F17-9B8C86C142A1}"/>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Light">
    <w:altName w:val="ESRI AMFM Electric"/>
    <w:panose1 w:val="00000000000000000000"/>
    <w:charset w:val="00"/>
    <w:family w:val="auto"/>
    <w:pitch w:val="default"/>
    <w:sig w:usb0="00000000" w:usb1="00000000" w:usb2="00000000" w:usb3="00000000" w:csb0="00000000" w:csb1="00000000"/>
  </w:font>
  <w:font w:name="ESRI AMFM Electric">
    <w:panose1 w:val="02000400000000000000"/>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noPunctuationKerning w:val="1"/>
  <w:characterSpacingControl w:val="doNotCompress"/>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iN2U3YWY3YTQ0YjU0Y2MyN2I3NmFlNDI2MzIxMGMifQ=="/>
  </w:docVars>
  <w:rsids>
    <w:rsidRoot w:val="009905E6"/>
    <w:rsid w:val="00003049"/>
    <w:rsid w:val="000611AA"/>
    <w:rsid w:val="00087985"/>
    <w:rsid w:val="000B18AE"/>
    <w:rsid w:val="000B793A"/>
    <w:rsid w:val="000D2E77"/>
    <w:rsid w:val="000F6D7C"/>
    <w:rsid w:val="00100E1F"/>
    <w:rsid w:val="001016D8"/>
    <w:rsid w:val="001307C5"/>
    <w:rsid w:val="001329ED"/>
    <w:rsid w:val="00143A21"/>
    <w:rsid w:val="001467B4"/>
    <w:rsid w:val="00150A0D"/>
    <w:rsid w:val="0015794C"/>
    <w:rsid w:val="00162E98"/>
    <w:rsid w:val="00187E9E"/>
    <w:rsid w:val="00191DBC"/>
    <w:rsid w:val="0019713F"/>
    <w:rsid w:val="001A12F8"/>
    <w:rsid w:val="001C2CF1"/>
    <w:rsid w:val="001D3A9E"/>
    <w:rsid w:val="001F1BCD"/>
    <w:rsid w:val="002157BE"/>
    <w:rsid w:val="00227B99"/>
    <w:rsid w:val="00235D06"/>
    <w:rsid w:val="00242E71"/>
    <w:rsid w:val="002E284F"/>
    <w:rsid w:val="002F5ADC"/>
    <w:rsid w:val="002F6E45"/>
    <w:rsid w:val="00362396"/>
    <w:rsid w:val="003B5228"/>
    <w:rsid w:val="003D000C"/>
    <w:rsid w:val="003E1F1A"/>
    <w:rsid w:val="003E552E"/>
    <w:rsid w:val="00400C61"/>
    <w:rsid w:val="004368E6"/>
    <w:rsid w:val="00447499"/>
    <w:rsid w:val="004566D2"/>
    <w:rsid w:val="004716C4"/>
    <w:rsid w:val="00487C5D"/>
    <w:rsid w:val="004C518D"/>
    <w:rsid w:val="00527488"/>
    <w:rsid w:val="005616FC"/>
    <w:rsid w:val="00575CF2"/>
    <w:rsid w:val="005958F7"/>
    <w:rsid w:val="005D53E1"/>
    <w:rsid w:val="005D7A0B"/>
    <w:rsid w:val="005D7F9A"/>
    <w:rsid w:val="005F19F2"/>
    <w:rsid w:val="005F571C"/>
    <w:rsid w:val="005F7027"/>
    <w:rsid w:val="00623004"/>
    <w:rsid w:val="00645E95"/>
    <w:rsid w:val="006646E7"/>
    <w:rsid w:val="0068095F"/>
    <w:rsid w:val="00685FB1"/>
    <w:rsid w:val="006E54CB"/>
    <w:rsid w:val="007079FB"/>
    <w:rsid w:val="00726685"/>
    <w:rsid w:val="00753BE9"/>
    <w:rsid w:val="00765093"/>
    <w:rsid w:val="007A3616"/>
    <w:rsid w:val="007C0102"/>
    <w:rsid w:val="007D335D"/>
    <w:rsid w:val="007D7740"/>
    <w:rsid w:val="007E5CC3"/>
    <w:rsid w:val="007F2B6C"/>
    <w:rsid w:val="008315B5"/>
    <w:rsid w:val="008360A2"/>
    <w:rsid w:val="00861D51"/>
    <w:rsid w:val="00865E9D"/>
    <w:rsid w:val="008858F1"/>
    <w:rsid w:val="00894F86"/>
    <w:rsid w:val="00925B66"/>
    <w:rsid w:val="00967BE8"/>
    <w:rsid w:val="00984D9D"/>
    <w:rsid w:val="009905E6"/>
    <w:rsid w:val="0099458C"/>
    <w:rsid w:val="009C3115"/>
    <w:rsid w:val="00A07CFB"/>
    <w:rsid w:val="00A24C26"/>
    <w:rsid w:val="00A25BE6"/>
    <w:rsid w:val="00A27E17"/>
    <w:rsid w:val="00A32CA0"/>
    <w:rsid w:val="00A361FE"/>
    <w:rsid w:val="00A36BCE"/>
    <w:rsid w:val="00A417E7"/>
    <w:rsid w:val="00A474F3"/>
    <w:rsid w:val="00A51539"/>
    <w:rsid w:val="00AA12E6"/>
    <w:rsid w:val="00AA2A35"/>
    <w:rsid w:val="00AC2485"/>
    <w:rsid w:val="00AE4C48"/>
    <w:rsid w:val="00AE6D35"/>
    <w:rsid w:val="00AE6DE2"/>
    <w:rsid w:val="00B16F0E"/>
    <w:rsid w:val="00B265D2"/>
    <w:rsid w:val="00B3308D"/>
    <w:rsid w:val="00B67870"/>
    <w:rsid w:val="00B801C0"/>
    <w:rsid w:val="00B97AC0"/>
    <w:rsid w:val="00BB363B"/>
    <w:rsid w:val="00BE700B"/>
    <w:rsid w:val="00C130A8"/>
    <w:rsid w:val="00C21828"/>
    <w:rsid w:val="00C232F5"/>
    <w:rsid w:val="00C2437C"/>
    <w:rsid w:val="00C658C7"/>
    <w:rsid w:val="00C869FB"/>
    <w:rsid w:val="00CB4018"/>
    <w:rsid w:val="00CC297B"/>
    <w:rsid w:val="00CC4CE1"/>
    <w:rsid w:val="00CF6970"/>
    <w:rsid w:val="00D105E2"/>
    <w:rsid w:val="00D365B0"/>
    <w:rsid w:val="00D47A5E"/>
    <w:rsid w:val="00D51A09"/>
    <w:rsid w:val="00D577A8"/>
    <w:rsid w:val="00D63CDE"/>
    <w:rsid w:val="00D963F2"/>
    <w:rsid w:val="00DD54CC"/>
    <w:rsid w:val="00DE0757"/>
    <w:rsid w:val="00E03DD0"/>
    <w:rsid w:val="00E06C0A"/>
    <w:rsid w:val="00ED0973"/>
    <w:rsid w:val="00ED343C"/>
    <w:rsid w:val="00F0300E"/>
    <w:rsid w:val="00F356DC"/>
    <w:rsid w:val="00F409B3"/>
    <w:rsid w:val="00FA0BEF"/>
    <w:rsid w:val="00FA7A7E"/>
    <w:rsid w:val="00FB3921"/>
    <w:rsid w:val="00FB75EB"/>
    <w:rsid w:val="02092C94"/>
    <w:rsid w:val="0270686F"/>
    <w:rsid w:val="034C108A"/>
    <w:rsid w:val="0506170D"/>
    <w:rsid w:val="05B31F3F"/>
    <w:rsid w:val="06A42F8B"/>
    <w:rsid w:val="06D01FD2"/>
    <w:rsid w:val="06DD649D"/>
    <w:rsid w:val="07BE1E2B"/>
    <w:rsid w:val="099512B1"/>
    <w:rsid w:val="0AA55524"/>
    <w:rsid w:val="0B136931"/>
    <w:rsid w:val="0C265DCE"/>
    <w:rsid w:val="0E6D108F"/>
    <w:rsid w:val="0F4B669A"/>
    <w:rsid w:val="103E1D5B"/>
    <w:rsid w:val="105A56D6"/>
    <w:rsid w:val="11A51365"/>
    <w:rsid w:val="130E3F08"/>
    <w:rsid w:val="14A338B6"/>
    <w:rsid w:val="15221F88"/>
    <w:rsid w:val="16077093"/>
    <w:rsid w:val="16C10C9D"/>
    <w:rsid w:val="17B94621"/>
    <w:rsid w:val="17CA55F9"/>
    <w:rsid w:val="181E209B"/>
    <w:rsid w:val="1928413C"/>
    <w:rsid w:val="1A0A3F54"/>
    <w:rsid w:val="1A564145"/>
    <w:rsid w:val="1ACB4B33"/>
    <w:rsid w:val="1CAF3257"/>
    <w:rsid w:val="1CEC274C"/>
    <w:rsid w:val="1E4766B5"/>
    <w:rsid w:val="1ED22AA2"/>
    <w:rsid w:val="241F37F9"/>
    <w:rsid w:val="26BB66FE"/>
    <w:rsid w:val="27561955"/>
    <w:rsid w:val="276C4FA7"/>
    <w:rsid w:val="2902539A"/>
    <w:rsid w:val="29DF4157"/>
    <w:rsid w:val="2A1732EC"/>
    <w:rsid w:val="2C106849"/>
    <w:rsid w:val="2D715788"/>
    <w:rsid w:val="2F3877B0"/>
    <w:rsid w:val="31A041CB"/>
    <w:rsid w:val="32432DA9"/>
    <w:rsid w:val="32B93763"/>
    <w:rsid w:val="33105381"/>
    <w:rsid w:val="331165AB"/>
    <w:rsid w:val="338B492A"/>
    <w:rsid w:val="33C5641B"/>
    <w:rsid w:val="35551CAB"/>
    <w:rsid w:val="35C709C1"/>
    <w:rsid w:val="362A2281"/>
    <w:rsid w:val="362D624A"/>
    <w:rsid w:val="37225683"/>
    <w:rsid w:val="38EF3C8A"/>
    <w:rsid w:val="3B0C4680"/>
    <w:rsid w:val="3BD80A06"/>
    <w:rsid w:val="3D8E5A9F"/>
    <w:rsid w:val="3DC01751"/>
    <w:rsid w:val="3F4F12D3"/>
    <w:rsid w:val="40A13ABC"/>
    <w:rsid w:val="40C81263"/>
    <w:rsid w:val="41A27AEA"/>
    <w:rsid w:val="428E1E1E"/>
    <w:rsid w:val="43D44D72"/>
    <w:rsid w:val="43EC3DEA"/>
    <w:rsid w:val="455E4927"/>
    <w:rsid w:val="45F60406"/>
    <w:rsid w:val="46717A8D"/>
    <w:rsid w:val="4A05194D"/>
    <w:rsid w:val="4BBC7E1A"/>
    <w:rsid w:val="4BC16359"/>
    <w:rsid w:val="4C416153"/>
    <w:rsid w:val="4C4175B9"/>
    <w:rsid w:val="4D422183"/>
    <w:rsid w:val="4E4A5DD7"/>
    <w:rsid w:val="4EB53B87"/>
    <w:rsid w:val="500216A4"/>
    <w:rsid w:val="527252B8"/>
    <w:rsid w:val="52E650D7"/>
    <w:rsid w:val="534E7AD3"/>
    <w:rsid w:val="53F144F7"/>
    <w:rsid w:val="55A208DC"/>
    <w:rsid w:val="565B499B"/>
    <w:rsid w:val="570971EF"/>
    <w:rsid w:val="57825F09"/>
    <w:rsid w:val="598C4EB2"/>
    <w:rsid w:val="5C423F4D"/>
    <w:rsid w:val="5CD153B5"/>
    <w:rsid w:val="5D8F4F70"/>
    <w:rsid w:val="5DA30A1C"/>
    <w:rsid w:val="5DEF3C61"/>
    <w:rsid w:val="5EA902B4"/>
    <w:rsid w:val="64ED51E6"/>
    <w:rsid w:val="64EE1EDC"/>
    <w:rsid w:val="670B03C3"/>
    <w:rsid w:val="673B7F17"/>
    <w:rsid w:val="674878E6"/>
    <w:rsid w:val="677F6056"/>
    <w:rsid w:val="67955879"/>
    <w:rsid w:val="69825989"/>
    <w:rsid w:val="69952D82"/>
    <w:rsid w:val="69F54D0E"/>
    <w:rsid w:val="6BA936A1"/>
    <w:rsid w:val="6CBB756C"/>
    <w:rsid w:val="6DAF4874"/>
    <w:rsid w:val="6EB4620E"/>
    <w:rsid w:val="750A2CD7"/>
    <w:rsid w:val="75B0387E"/>
    <w:rsid w:val="76B64EC4"/>
    <w:rsid w:val="770D0462"/>
    <w:rsid w:val="787B4617"/>
    <w:rsid w:val="78DA2A6E"/>
    <w:rsid w:val="78F32F7F"/>
    <w:rsid w:val="79593094"/>
    <w:rsid w:val="7AE30252"/>
    <w:rsid w:val="7C356E3F"/>
    <w:rsid w:val="7C4E5106"/>
    <w:rsid w:val="7D50127A"/>
    <w:rsid w:val="7EDC0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2"/>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3"/>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5"/>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Balloon Text"/>
    <w:basedOn w:val="1"/>
    <w:link w:val="40"/>
    <w:semiHidden/>
    <w:unhideWhenUsed/>
    <w:qFormat/>
    <w:uiPriority w:val="99"/>
    <w:rPr>
      <w:sz w:val="18"/>
      <w:szCs w:val="18"/>
    </w:rPr>
  </w:style>
  <w:style w:type="paragraph" w:styleId="13">
    <w:name w:val="footer"/>
    <w:basedOn w:val="1"/>
    <w:link w:val="39"/>
    <w:unhideWhenUsed/>
    <w:qFormat/>
    <w:uiPriority w:val="99"/>
    <w:pPr>
      <w:tabs>
        <w:tab w:val="center" w:pos="4153"/>
        <w:tab w:val="right" w:pos="8306"/>
      </w:tabs>
      <w:snapToGrid w:val="0"/>
      <w:jc w:val="left"/>
    </w:pPr>
    <w:rPr>
      <w:sz w:val="18"/>
      <w:szCs w:val="18"/>
    </w:rPr>
  </w:style>
  <w:style w:type="paragraph" w:styleId="14">
    <w:name w:val="header"/>
    <w:basedOn w:val="1"/>
    <w:link w:val="38"/>
    <w:unhideWhenUsed/>
    <w:qFormat/>
    <w:uiPriority w:val="99"/>
    <w:pPr>
      <w:tabs>
        <w:tab w:val="center" w:pos="4153"/>
        <w:tab w:val="right" w:pos="8306"/>
      </w:tabs>
      <w:snapToGrid w:val="0"/>
      <w:jc w:val="center"/>
    </w:pPr>
    <w:rPr>
      <w:sz w:val="18"/>
      <w:szCs w:val="18"/>
    </w:rPr>
  </w:style>
  <w:style w:type="paragraph" w:styleId="15">
    <w:name w:val="Subtitle"/>
    <w:basedOn w:val="1"/>
    <w:next w:val="1"/>
    <w:link w:val="30"/>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Normal (Web)"/>
    <w:basedOn w:val="1"/>
    <w:qFormat/>
    <w:uiPriority w:val="0"/>
    <w:rPr>
      <w:sz w:val="24"/>
    </w:rPr>
  </w:style>
  <w:style w:type="paragraph" w:styleId="17">
    <w:name w:val="Title"/>
    <w:basedOn w:val="1"/>
    <w:next w:val="1"/>
    <w:link w:val="29"/>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20">
    <w:name w:val="标题 1 Char"/>
    <w:basedOn w:val="19"/>
    <w:link w:val="2"/>
    <w:qFormat/>
    <w:uiPriority w:val="9"/>
    <w:rPr>
      <w:rFonts w:asciiTheme="majorHAnsi" w:hAnsiTheme="majorHAnsi" w:eastAsiaTheme="majorEastAsia" w:cstheme="majorBidi"/>
      <w:color w:val="2F5597" w:themeColor="accent1" w:themeShade="BF"/>
      <w:sz w:val="48"/>
      <w:szCs w:val="48"/>
    </w:rPr>
  </w:style>
  <w:style w:type="character" w:customStyle="1" w:styleId="21">
    <w:name w:val="标题 2 Char"/>
    <w:basedOn w:val="19"/>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2">
    <w:name w:val="标题 3 Char"/>
    <w:basedOn w:val="19"/>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3">
    <w:name w:val="标题 4 Char"/>
    <w:basedOn w:val="19"/>
    <w:link w:val="5"/>
    <w:semiHidden/>
    <w:qFormat/>
    <w:uiPriority w:val="9"/>
    <w:rPr>
      <w:rFonts w:cstheme="majorBidi"/>
      <w:color w:val="2F5597" w:themeColor="accent1" w:themeShade="BF"/>
      <w:sz w:val="28"/>
      <w:szCs w:val="28"/>
    </w:rPr>
  </w:style>
  <w:style w:type="character" w:customStyle="1" w:styleId="24">
    <w:name w:val="标题 5 Char"/>
    <w:basedOn w:val="19"/>
    <w:link w:val="6"/>
    <w:semiHidden/>
    <w:qFormat/>
    <w:uiPriority w:val="9"/>
    <w:rPr>
      <w:rFonts w:cstheme="majorBidi"/>
      <w:color w:val="2F5597" w:themeColor="accent1" w:themeShade="BF"/>
      <w:sz w:val="24"/>
      <w:szCs w:val="24"/>
    </w:rPr>
  </w:style>
  <w:style w:type="character" w:customStyle="1" w:styleId="25">
    <w:name w:val="标题 6 Char"/>
    <w:basedOn w:val="19"/>
    <w:link w:val="7"/>
    <w:semiHidden/>
    <w:qFormat/>
    <w:uiPriority w:val="9"/>
    <w:rPr>
      <w:rFonts w:cstheme="majorBidi"/>
      <w:b/>
      <w:bCs/>
      <w:color w:val="2F5597" w:themeColor="accent1" w:themeShade="BF"/>
    </w:rPr>
  </w:style>
  <w:style w:type="character" w:customStyle="1" w:styleId="26">
    <w:name w:val="标题 7 Char"/>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Char"/>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Char"/>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Char"/>
    <w:basedOn w:val="19"/>
    <w:link w:val="17"/>
    <w:qFormat/>
    <w:uiPriority w:val="10"/>
    <w:rPr>
      <w:rFonts w:asciiTheme="majorHAnsi" w:hAnsiTheme="majorHAnsi" w:eastAsiaTheme="majorEastAsia" w:cstheme="majorBidi"/>
      <w:spacing w:val="-10"/>
      <w:kern w:val="28"/>
      <w:sz w:val="56"/>
      <w:szCs w:val="56"/>
    </w:rPr>
  </w:style>
  <w:style w:type="character" w:customStyle="1" w:styleId="30">
    <w:name w:val="副标题 Char"/>
    <w:basedOn w:val="19"/>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Char"/>
    <w:basedOn w:val="19"/>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明显强调1"/>
    <w:basedOn w:val="19"/>
    <w:qFormat/>
    <w:uiPriority w:val="21"/>
    <w:rPr>
      <w:i/>
      <w:iCs/>
      <w:color w:val="2F5597" w:themeColor="accent1" w:themeShade="BF"/>
    </w:rPr>
  </w:style>
  <w:style w:type="paragraph" w:styleId="35">
    <w:name w:val="Intense Quote"/>
    <w:basedOn w:val="1"/>
    <w:next w:val="1"/>
    <w:link w:val="36"/>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6">
    <w:name w:val="明显引用 Char"/>
    <w:basedOn w:val="19"/>
    <w:link w:val="35"/>
    <w:qFormat/>
    <w:uiPriority w:val="30"/>
    <w:rPr>
      <w:i/>
      <w:iCs/>
      <w:color w:val="2F5597" w:themeColor="accent1" w:themeShade="BF"/>
    </w:rPr>
  </w:style>
  <w:style w:type="character" w:customStyle="1" w:styleId="37">
    <w:name w:val="明显参考1"/>
    <w:basedOn w:val="19"/>
    <w:qFormat/>
    <w:uiPriority w:val="32"/>
    <w:rPr>
      <w:b/>
      <w:bCs/>
      <w:smallCaps/>
      <w:color w:val="2F5597" w:themeColor="accent1" w:themeShade="BF"/>
      <w:spacing w:val="5"/>
    </w:rPr>
  </w:style>
  <w:style w:type="character" w:customStyle="1" w:styleId="38">
    <w:name w:val="页眉 Char"/>
    <w:basedOn w:val="19"/>
    <w:link w:val="14"/>
    <w:qFormat/>
    <w:uiPriority w:val="99"/>
    <w:rPr>
      <w:sz w:val="18"/>
      <w:szCs w:val="18"/>
    </w:rPr>
  </w:style>
  <w:style w:type="character" w:customStyle="1" w:styleId="39">
    <w:name w:val="页脚 Char"/>
    <w:basedOn w:val="19"/>
    <w:link w:val="13"/>
    <w:qFormat/>
    <w:uiPriority w:val="99"/>
    <w:rPr>
      <w:sz w:val="18"/>
      <w:szCs w:val="18"/>
    </w:rPr>
  </w:style>
  <w:style w:type="character" w:customStyle="1" w:styleId="40">
    <w:name w:val="批注框文本 Char"/>
    <w:basedOn w:val="19"/>
    <w:link w:val="12"/>
    <w:semiHidden/>
    <w:qFormat/>
    <w:uiPriority w:val="99"/>
    <w:rPr>
      <w:rFonts w:asciiTheme="minorHAnsi" w:hAnsiTheme="minorHAnsi" w:eastAsiaTheme="minorEastAsia" w:cstheme="minorBidi"/>
      <w:kern w:val="2"/>
      <w:sz w:val="18"/>
      <w:szCs w:val="18"/>
      <w14:ligatures w14:val="standardContextua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Pages>
  <Words>3309</Words>
  <Characters>3396</Characters>
  <Lines>24</Lines>
  <Paragraphs>6</Paragraphs>
  <TotalTime>11</TotalTime>
  <ScaleCrop>false</ScaleCrop>
  <LinksUpToDate>false</LinksUpToDate>
  <CharactersWithSpaces>3423</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2025-06-30T06:58:00Z</dcterms:created>
  <dc:creator>Administrator</dc:creator>
  <cp:lastModifiedBy>Administrator</cp:lastModifiedBy>
  <cp:lastPrinted>2025-09-18T02:01:00Z</cp:lastPrinted>
  <dcterms:modified xsi:type="dcterms:W3CDTF">2025-09-18T03:59:37Z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eyJoZGlkIjoiNDk3YzIzMGRhNDhhNGE4MDBiZGJkM2NkYTJkOWRjNWYiLCJ1c2VySWQiOiI3NzU4NTk1NzUifQ==</vt:lpwstr>
  </property>
  <property fmtid="{D5CDD505-2E9C-101B-9397-08002B2CF9AE}" pid="3" name="KSOProductBuildVer">
    <vt:lpwstr>2052-11.8.2.10154</vt:lpwstr>
  </property>
  <property fmtid="{D5CDD505-2E9C-101B-9397-08002B2CF9AE}" pid="4" name="ICV">
    <vt:lpwstr>5C1DF87B614B4F5DB34979D17A99D901_13</vt:lpwstr>
  </property>
</Properties>
</file>